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21" w:rsidRPr="005B7C62" w:rsidRDefault="007012CE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B7C62">
        <w:rPr>
          <w:rFonts w:cstheme="minorHAnsi"/>
          <w:b/>
          <w:sz w:val="24"/>
          <w:szCs w:val="24"/>
        </w:rPr>
        <w:t>Risikobewertung</w:t>
      </w:r>
      <w:r w:rsidRPr="005B7C62">
        <w:rPr>
          <w:rFonts w:cstheme="minorHAnsi"/>
          <w:b/>
          <w:sz w:val="24"/>
          <w:szCs w:val="24"/>
        </w:rPr>
        <w:t xml:space="preserve"> – 19.06.2019 </w:t>
      </w:r>
    </w:p>
    <w:p w:rsidR="005B7C62" w:rsidRPr="005B7C62" w:rsidRDefault="005B7C62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„Turbulenter Start in 2019 aufgrund von Compliance Vorwirfen</w:t>
      </w:r>
    </w:p>
    <w:p w:rsidR="005B7C62" w:rsidRPr="005B7C62" w:rsidRDefault="005B7C62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Mehrere Berichte der "Financial Times" über Compliance-Verletzungen in</w:t>
      </w:r>
    </w:p>
    <w:p w:rsidR="005B7C62" w:rsidRPr="005B7C62" w:rsidRDefault="005B7C62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Singapur hatten zu einem massiven Kurseinbruch der Aktie um durchschnittlich</w:t>
      </w:r>
    </w:p>
    <w:p w:rsidR="00846A21" w:rsidRPr="005B7C62" w:rsidRDefault="005B7C62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 xml:space="preserve">25% geführt.“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„</w:t>
      </w:r>
      <w:r w:rsidR="00846A21" w:rsidRPr="005B7C62">
        <w:rPr>
          <w:rFonts w:cstheme="minorHAnsi"/>
          <w:sz w:val="24"/>
          <w:szCs w:val="24"/>
        </w:rPr>
        <w:t>Die Vorgänge um die Anfang 2019 erfolgte kritische Berichterstattung der Financial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Times und die hieraus resultierenden Folgen (Stichworte: Fehlverhalten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von Wirecard — Mitarbeitern in Singapur, Kursturbulenzen, Leerverkaufsverbot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für die Wirecard — Aktie durch die BaFin, strafrechtliche Ermittlungen der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Staatsanwaltschaft München wegen des Verdachts auf Kursmanipulation etc.)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wurden bankintern zwischen allen relevanten Schnittstellen ausführlich diskutiert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und bewertet. Es besteht im Ergebnis Einigkeit darüber, dass vorerwähnte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Vorfälle in Singapur einen minderschweren Charakter haben und daher ein nur</w:t>
      </w:r>
    </w:p>
    <w:p w:rsidR="00846A21" w:rsidRPr="005B7C62" w:rsidRDefault="00846A21" w:rsidP="00846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geringes Reputationsrisiko für die IPEX darstellen. Die Berichterstattung der FT</w:t>
      </w:r>
    </w:p>
    <w:p w:rsidR="00846A21" w:rsidRPr="005B7C62" w:rsidRDefault="00846A21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war mindestens übertrieben.</w:t>
      </w:r>
      <w:r w:rsidR="005B7C62">
        <w:rPr>
          <w:rFonts w:cstheme="minorHAnsi"/>
          <w:sz w:val="24"/>
          <w:szCs w:val="24"/>
        </w:rPr>
        <w:t>“</w:t>
      </w:r>
    </w:p>
    <w:p w:rsidR="007012CE" w:rsidRPr="005B7C62" w:rsidRDefault="007012CE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12CE" w:rsidRPr="005B7C62" w:rsidRDefault="00922329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bookmarkStart w:id="0" w:name="_GoBack"/>
      <w:bookmarkEnd w:id="0"/>
      <w:r w:rsidR="007012CE" w:rsidRPr="005B7C62">
        <w:rPr>
          <w:rFonts w:cstheme="minorHAnsi"/>
          <w:sz w:val="24"/>
          <w:szCs w:val="24"/>
        </w:rPr>
        <w:t>Dennoch gilt aufgrund des stark gestiegenen Medieninteresse</w:t>
      </w:r>
      <w:r w:rsidR="005B7C62">
        <w:rPr>
          <w:rFonts w:cstheme="minorHAnsi"/>
          <w:sz w:val="24"/>
          <w:szCs w:val="24"/>
        </w:rPr>
        <w:t xml:space="preserve">s an der Wirecard AG ein ebenso </w:t>
      </w:r>
      <w:r w:rsidR="007012CE" w:rsidRPr="005B7C62">
        <w:rPr>
          <w:rFonts w:cstheme="minorHAnsi"/>
          <w:sz w:val="24"/>
          <w:szCs w:val="24"/>
        </w:rPr>
        <w:t>gestiegenes Reputationsrisiko. Aus Sicht der Compliance ist h</w:t>
      </w:r>
      <w:r w:rsidR="005B7C62">
        <w:rPr>
          <w:rFonts w:cstheme="minorHAnsi"/>
          <w:sz w:val="24"/>
          <w:szCs w:val="24"/>
        </w:rPr>
        <w:t xml:space="preserve">ierfür der rasante Aufstieg des </w:t>
      </w:r>
      <w:r w:rsidR="007012CE" w:rsidRPr="005B7C62">
        <w:rPr>
          <w:rFonts w:cstheme="minorHAnsi"/>
          <w:sz w:val="24"/>
          <w:szCs w:val="24"/>
        </w:rPr>
        <w:t xml:space="preserve">Unternehmens aufgrund seiner Börsennotierung zu sehen, darüber </w:t>
      </w:r>
      <w:r w:rsidR="005B7C62">
        <w:rPr>
          <w:rFonts w:cstheme="minorHAnsi"/>
          <w:sz w:val="24"/>
          <w:szCs w:val="24"/>
        </w:rPr>
        <w:t xml:space="preserve">hinaus das fortlaufend eher als </w:t>
      </w:r>
      <w:r w:rsidR="007012CE" w:rsidRPr="005B7C62">
        <w:rPr>
          <w:rFonts w:cstheme="minorHAnsi"/>
          <w:sz w:val="24"/>
          <w:szCs w:val="24"/>
        </w:rPr>
        <w:t>undurchsichtig wahrgenommene Geschäftsmodell.</w:t>
      </w:r>
      <w:r w:rsidR="005B7C62">
        <w:rPr>
          <w:rFonts w:cstheme="minorHAnsi"/>
          <w:sz w:val="24"/>
          <w:szCs w:val="24"/>
        </w:rPr>
        <w:t xml:space="preserve">“ </w:t>
      </w:r>
    </w:p>
    <w:p w:rsidR="007012CE" w:rsidRPr="005B7C62" w:rsidRDefault="007012CE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12CE" w:rsidRPr="005B7C62" w:rsidRDefault="007012CE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4EDA" w:rsidRPr="005B7C62" w:rsidRDefault="00B84EDA" w:rsidP="00B84E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B7C62">
        <w:rPr>
          <w:rFonts w:cstheme="minorHAnsi"/>
          <w:b/>
          <w:sz w:val="24"/>
          <w:szCs w:val="24"/>
        </w:rPr>
        <w:t>Aus Chronologie</w:t>
      </w:r>
      <w:r w:rsidR="005B7C62">
        <w:rPr>
          <w:rFonts w:cstheme="minorHAnsi"/>
          <w:b/>
          <w:sz w:val="24"/>
          <w:szCs w:val="24"/>
        </w:rPr>
        <w:t xml:space="preserve"> – BMWi</w:t>
      </w:r>
    </w:p>
    <w:p w:rsidR="00B84EDA" w:rsidRDefault="00B84EDA" w:rsidP="00B84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4EDA" w:rsidRPr="005B7C62" w:rsidRDefault="005B7C62" w:rsidP="00B84E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B84EDA" w:rsidRPr="005B7C62">
        <w:rPr>
          <w:rFonts w:cstheme="minorHAnsi"/>
          <w:sz w:val="24"/>
          <w:szCs w:val="24"/>
        </w:rPr>
        <w:t>Am 18.6.2020 wurde öffentlich bekannt, dass der Abschlussprüfer der Wirecard</w:t>
      </w:r>
    </w:p>
    <w:p w:rsidR="00B84EDA" w:rsidRPr="005B7C62" w:rsidRDefault="00B84EDA" w:rsidP="00B84E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AG, Ernst &amp; Young, der Wirecard AG kein Testat für den Jahresabschluss 2019</w:t>
      </w:r>
    </w:p>
    <w:p w:rsidR="00B84EDA" w:rsidRPr="005B7C62" w:rsidRDefault="00B84EDA" w:rsidP="00B84E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erteilen werde.</w:t>
      </w:r>
    </w:p>
    <w:p w:rsidR="00B84EDA" w:rsidRPr="005B7C62" w:rsidRDefault="00B84EDA" w:rsidP="00B84E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4EDA" w:rsidRPr="005B7C62" w:rsidRDefault="00B84EDA" w:rsidP="00B84E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Am 19.6.2020 informierte die IPEX-GF den Aufsichtsrat zum ersten Mal per</w:t>
      </w:r>
    </w:p>
    <w:p w:rsidR="00B84EDA" w:rsidRPr="005B7C62" w:rsidRDefault="00B84EDA" w:rsidP="005B7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C62">
        <w:rPr>
          <w:rFonts w:cstheme="minorHAnsi"/>
          <w:sz w:val="24"/>
          <w:szCs w:val="24"/>
        </w:rPr>
        <w:t>verschlüsselter Mail über das IPEX-Wirecard-Engagement.</w:t>
      </w:r>
      <w:r w:rsidR="005B7C62">
        <w:rPr>
          <w:rFonts w:cstheme="minorHAnsi"/>
          <w:sz w:val="24"/>
          <w:szCs w:val="24"/>
        </w:rPr>
        <w:t xml:space="preserve">“ </w:t>
      </w:r>
    </w:p>
    <w:sectPr w:rsidR="00B84EDA" w:rsidRPr="005B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1"/>
    <w:rsid w:val="00343D8B"/>
    <w:rsid w:val="005B7C62"/>
    <w:rsid w:val="007012CE"/>
    <w:rsid w:val="00846A21"/>
    <w:rsid w:val="00922329"/>
    <w:rsid w:val="00B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AD8-2EF7-48D5-BD32-7030AA9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A3A80095.dotm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Schäffler Frank Mitarbeiter - Maximilian Wirth</dc:creator>
  <cp:keywords/>
  <dc:description/>
  <cp:lastModifiedBy>Schäffler Frank Mitarbeiter - Maximilian Wirth</cp:lastModifiedBy>
  <cp:revision>2</cp:revision>
  <dcterms:created xsi:type="dcterms:W3CDTF">2020-11-19T11:57:00Z</dcterms:created>
  <dcterms:modified xsi:type="dcterms:W3CDTF">2020-11-19T14:22:00Z</dcterms:modified>
</cp:coreProperties>
</file>